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DE04D" w14:textId="2C2E319A" w:rsidR="000A5596" w:rsidRPr="00C30E7C" w:rsidRDefault="000A5596" w:rsidP="000A559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#92</w:t>
      </w:r>
      <w:r>
        <w:rPr>
          <w:rFonts w:ascii="Arial" w:eastAsia="맑은 고딕" w:hAnsi="Arial" w:cs="Arial" w:hint="eastAsia"/>
          <w:b/>
          <w:bCs/>
          <w:sz w:val="28"/>
        </w:rPr>
        <w:t xml:space="preserve">                </w:t>
      </w:r>
      <w:r>
        <w:rPr>
          <w:rFonts w:ascii="Arial" w:eastAsia="맑은 고딕" w:hAnsi="Arial" w:cs="Arial"/>
          <w:b/>
          <w:bCs/>
          <w:sz w:val="28"/>
        </w:rPr>
        <w:tab/>
      </w:r>
      <w:r w:rsidRPr="000A5596">
        <w:rPr>
          <w:rFonts w:ascii="Arial" w:hAnsi="Arial" w:cs="Arial"/>
          <w:b/>
          <w:bCs/>
          <w:sz w:val="28"/>
        </w:rPr>
        <w:t>R1-1802218</w:t>
      </w:r>
    </w:p>
    <w:p w14:paraId="2D012322" w14:textId="1892AD43" w:rsidR="00F67992" w:rsidRPr="00A85A84" w:rsidRDefault="000A5596" w:rsidP="000A5596">
      <w:pPr>
        <w:tabs>
          <w:tab w:val="center" w:pos="4536"/>
          <w:tab w:val="right" w:pos="9072"/>
        </w:tabs>
        <w:ind w:left="284"/>
        <w:jc w:val="left"/>
        <w:rPr>
          <w:rFonts w:ascii="Arial" w:hAnsi="Arial" w:cs="Arial"/>
          <w:b/>
          <w:bCs/>
          <w:sz w:val="28"/>
          <w:lang w:eastAsia="ja-JP"/>
        </w:rPr>
      </w:pPr>
      <w:r>
        <w:rPr>
          <w:rFonts w:ascii="Arial" w:eastAsia="맑은 고딕" w:hAnsi="Arial" w:cs="Arial"/>
          <w:b/>
          <w:bCs/>
          <w:sz w:val="28"/>
        </w:rPr>
        <w:t>Athens</w:t>
      </w:r>
      <w:r>
        <w:rPr>
          <w:rFonts w:ascii="Arial" w:eastAsia="맑은 고딕" w:hAnsi="Arial" w:cs="Arial" w:hint="eastAsia"/>
          <w:b/>
          <w:bCs/>
          <w:sz w:val="28"/>
        </w:rPr>
        <w:t xml:space="preserve">, </w:t>
      </w:r>
      <w:r>
        <w:rPr>
          <w:rFonts w:ascii="Arial" w:eastAsia="맑은 고딕" w:hAnsi="Arial" w:cs="Arial"/>
          <w:b/>
          <w:bCs/>
          <w:sz w:val="28"/>
        </w:rPr>
        <w:t>Greece</w:t>
      </w:r>
      <w:r>
        <w:rPr>
          <w:rFonts w:ascii="Arial" w:eastAsia="맑은 고딕" w:hAnsi="Arial" w:cs="Arial" w:hint="eastAsia"/>
          <w:b/>
          <w:bCs/>
          <w:sz w:val="28"/>
        </w:rPr>
        <w:t xml:space="preserve">, </w:t>
      </w:r>
      <w:r>
        <w:rPr>
          <w:rFonts w:ascii="Arial" w:eastAsia="맑은 고딕" w:hAnsi="Arial" w:cs="Arial"/>
          <w:b/>
          <w:bCs/>
          <w:sz w:val="28"/>
        </w:rPr>
        <w:t>February 26</w:t>
      </w:r>
      <w:r>
        <w:rPr>
          <w:rFonts w:ascii="Arial" w:eastAsia="맑은 고딕" w:hAnsi="Arial" w:cs="Arial"/>
          <w:b/>
          <w:bCs/>
          <w:sz w:val="28"/>
          <w:vertAlign w:val="superscript"/>
        </w:rPr>
        <w:t>th</w:t>
      </w:r>
      <w:r>
        <w:rPr>
          <w:rFonts w:ascii="Arial" w:eastAsia="맑은 고딕" w:hAnsi="Arial" w:cs="Arial"/>
          <w:b/>
          <w:bCs/>
          <w:sz w:val="28"/>
        </w:rPr>
        <w:t xml:space="preserve"> – March 2</w:t>
      </w:r>
      <w:r>
        <w:rPr>
          <w:rFonts w:ascii="Arial" w:eastAsia="맑은 고딕" w:hAnsi="Arial" w:cs="Arial"/>
          <w:b/>
          <w:bCs/>
          <w:sz w:val="28"/>
          <w:vertAlign w:val="superscript"/>
        </w:rPr>
        <w:t>nd</w:t>
      </w:r>
      <w:r>
        <w:rPr>
          <w:rFonts w:ascii="Arial" w:eastAsia="맑은 고딕" w:hAnsi="Arial" w:cs="Arial"/>
          <w:b/>
          <w:bCs/>
          <w:sz w:val="28"/>
        </w:rPr>
        <w:t>,</w:t>
      </w:r>
      <w:r>
        <w:rPr>
          <w:rFonts w:ascii="Arial" w:eastAsia="맑은 고딕" w:hAnsi="Arial" w:cs="Arial" w:hint="eastAsia"/>
          <w:b/>
          <w:bCs/>
          <w:sz w:val="28"/>
        </w:rPr>
        <w:t xml:space="preserve"> 2018</w:t>
      </w:r>
    </w:p>
    <w:p w14:paraId="6E4462CD" w14:textId="5841AE3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52C20">
        <w:rPr>
          <w:rFonts w:ascii="Arial" w:eastAsia="맑은 고딕" w:hAnsi="Arial"/>
          <w:sz w:val="24"/>
          <w:lang w:val="en-US" w:eastAsia="ko-KR"/>
        </w:rPr>
        <w:t>7</w:t>
      </w:r>
      <w:r w:rsidR="00F3553F">
        <w:rPr>
          <w:rFonts w:ascii="Arial" w:eastAsia="맑은 고딕" w:hAnsi="Arial"/>
          <w:sz w:val="24"/>
          <w:lang w:val="en-US" w:eastAsia="ko-KR"/>
        </w:rPr>
        <w:t>.</w:t>
      </w:r>
      <w:r w:rsidR="005C3037">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452C20">
        <w:rPr>
          <w:rFonts w:ascii="Arial" w:eastAsia="맑은 고딕" w:hAnsi="Arial"/>
          <w:sz w:val="24"/>
          <w:lang w:val="en-US" w:eastAsia="ko-KR"/>
        </w:rPr>
        <w:t>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F5FCD90"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F3785" w:rsidRPr="009F3785">
        <w:rPr>
          <w:rFonts w:ascii="Arial" w:hAnsi="Arial"/>
          <w:sz w:val="24"/>
        </w:rPr>
        <w:t>Remaining issues on rate matching resources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865DAF3" w14:textId="5112BD3C" w:rsidR="00873B15" w:rsidRPr="008A22CE" w:rsidRDefault="008A22CE" w:rsidP="00560857">
      <w:pPr>
        <w:ind w:left="0" w:firstLine="0"/>
        <w:rPr>
          <w:rFonts w:eastAsiaTheme="minorEastAsia"/>
          <w:sz w:val="22"/>
          <w:szCs w:val="22"/>
          <w:lang w:eastAsia="ko-KR"/>
        </w:rPr>
      </w:pPr>
      <w:r>
        <w:rPr>
          <w:rFonts w:eastAsiaTheme="minorEastAsia" w:hint="eastAsia"/>
          <w:sz w:val="22"/>
          <w:szCs w:val="22"/>
          <w:lang w:eastAsia="ko-KR"/>
        </w:rPr>
        <w:t xml:space="preserve">This contribution discusses remaining issues related </w:t>
      </w:r>
      <w:r>
        <w:rPr>
          <w:rFonts w:eastAsiaTheme="minorEastAsia"/>
          <w:sz w:val="22"/>
          <w:szCs w:val="22"/>
          <w:lang w:eastAsia="ko-KR"/>
        </w:rPr>
        <w:t xml:space="preserve">to rate matching resource configurations. Particularly, it discusses briefly on cell-specific RMR configuration and UE behaviors for dynamically indicated RMR resource. </w:t>
      </w:r>
    </w:p>
    <w:p w14:paraId="32C724AC" w14:textId="0D11ACE5" w:rsidR="00EA7A05" w:rsidRDefault="005729DC" w:rsidP="00A403B3">
      <w:pPr>
        <w:pStyle w:val="1"/>
        <w:numPr>
          <w:ilvl w:val="0"/>
          <w:numId w:val="2"/>
        </w:numPr>
        <w:spacing w:after="0"/>
        <w:rPr>
          <w:rFonts w:cs="Arial"/>
          <w:b/>
          <w:szCs w:val="32"/>
        </w:rPr>
      </w:pPr>
      <w:r>
        <w:rPr>
          <w:rFonts w:eastAsia="바탕" w:cs="Arial"/>
          <w:b/>
          <w:szCs w:val="32"/>
          <w:lang w:eastAsia="ko-KR"/>
        </w:rPr>
        <w:t>Cell-specific</w:t>
      </w:r>
      <w:r w:rsidR="00EA7A05">
        <w:rPr>
          <w:rFonts w:eastAsia="바탕" w:cs="Arial" w:hint="eastAsia"/>
          <w:b/>
          <w:szCs w:val="32"/>
          <w:lang w:eastAsia="ko-KR"/>
        </w:rPr>
        <w:t xml:space="preserve"> (RMR)</w:t>
      </w:r>
      <w:r w:rsidR="00344AEF">
        <w:rPr>
          <w:rFonts w:eastAsia="바탕" w:cs="Arial"/>
          <w:b/>
          <w:szCs w:val="32"/>
          <w:lang w:eastAsia="ko-KR"/>
        </w:rPr>
        <w:t xml:space="preserve"> configurations</w:t>
      </w:r>
    </w:p>
    <w:p w14:paraId="7D6E7F6F" w14:textId="05844D6C" w:rsidR="008C5975" w:rsidRDefault="00344AEF" w:rsidP="00344AEF">
      <w:pPr>
        <w:ind w:left="0" w:firstLine="0"/>
        <w:rPr>
          <w:sz w:val="22"/>
          <w:szCs w:val="22"/>
        </w:rPr>
      </w:pPr>
      <w:r>
        <w:rPr>
          <w:sz w:val="22"/>
          <w:szCs w:val="22"/>
        </w:rPr>
        <w:t xml:space="preserve">So far, cell-specific rate matching resource configurations are not agreed which could be beneficial in some cases for example LTE-NR downlink sharing cases. </w:t>
      </w:r>
      <w:r w:rsidR="008C5975">
        <w:rPr>
          <w:sz w:val="22"/>
          <w:szCs w:val="22"/>
        </w:rPr>
        <w:t xml:space="preserve">For example, it has been discussed RB level indication on reserved resource for NB-IoT and NR coexistence, or legacy PDCCH region is signalled as reserved resource for LTE-NR existence case. Considering both cases where either frequency or time domain reserved resources could be sufficient, one simple approach is to configure ‘either bitmap-1 or bitmap-2. If use cases of combining bitmap-1 and bitmap-2 is identified, optionally combination of bitmap-1 and bitmap-2 may be supported. When only bitmap-1 is configured, the indicated RBs are applied to all symbols in all slots, and only bitmap-2 is configured, the indicated symbols are reserved in the entire frequency. </w:t>
      </w:r>
      <w:r w:rsidR="005729DC">
        <w:rPr>
          <w:sz w:val="22"/>
          <w:szCs w:val="22"/>
        </w:rPr>
        <w:t xml:space="preserve">In terms of configuration by either RMSI or OSI, we prefer RMSI such that cell-specific configuration can be used for broadcast channels such as RAR/paging/Msg4. </w:t>
      </w:r>
    </w:p>
    <w:p w14:paraId="6F479CB0" w14:textId="3F9AE2E7" w:rsidR="005A33B2" w:rsidRPr="006C235D" w:rsidRDefault="005A33B2" w:rsidP="00A403B3">
      <w:pPr>
        <w:ind w:left="0" w:firstLine="0"/>
        <w:rPr>
          <w:b/>
          <w:i/>
          <w:sz w:val="22"/>
          <w:szCs w:val="22"/>
        </w:rPr>
      </w:pPr>
      <w:r w:rsidRPr="006C235D">
        <w:rPr>
          <w:b/>
          <w:i/>
          <w:sz w:val="22"/>
          <w:szCs w:val="22"/>
        </w:rPr>
        <w:t>Proposal 1: In cell-specific configuration, allow configuring only bitmap-1 or bitmap-2</w:t>
      </w:r>
      <w:r w:rsidR="005729DC">
        <w:rPr>
          <w:b/>
          <w:i/>
          <w:sz w:val="22"/>
          <w:szCs w:val="22"/>
        </w:rPr>
        <w:t xml:space="preserve"> in RMSI</w:t>
      </w:r>
      <w:r w:rsidRPr="006C235D">
        <w:rPr>
          <w:b/>
          <w:i/>
          <w:sz w:val="22"/>
          <w:szCs w:val="22"/>
        </w:rPr>
        <w:t xml:space="preserve">. FFS on whether to support also on combined bitmap-1 and bitmap-2. If only bitmap-1 is configured, it applies to the entire symbols/slots. If only bitmap-2 is configured, it applies to the entire frequency. </w:t>
      </w:r>
    </w:p>
    <w:p w14:paraId="655943CD" w14:textId="15D6268E" w:rsidR="005729DC" w:rsidRDefault="005729DC" w:rsidP="00A403B3">
      <w:pPr>
        <w:ind w:left="0" w:firstLine="0"/>
        <w:rPr>
          <w:rFonts w:eastAsiaTheme="minorEastAsia"/>
          <w:sz w:val="22"/>
          <w:szCs w:val="22"/>
          <w:lang w:eastAsia="ko-KR"/>
        </w:rPr>
      </w:pPr>
      <w:r>
        <w:rPr>
          <w:rFonts w:eastAsiaTheme="minorEastAsia" w:hint="eastAsia"/>
          <w:sz w:val="22"/>
          <w:szCs w:val="22"/>
          <w:lang w:eastAsia="ko-KR"/>
        </w:rPr>
        <w:t xml:space="preserve">When a UE is configured with cell-specific configuration and UE-specific configuration, it is assumed that the union of configurations are applied for UE-specific PDSCH, and cell-specific </w:t>
      </w:r>
      <w:r>
        <w:rPr>
          <w:rFonts w:eastAsiaTheme="minorEastAsia"/>
          <w:sz w:val="22"/>
          <w:szCs w:val="22"/>
          <w:lang w:eastAsia="ko-KR"/>
        </w:rPr>
        <w:t>configuration</w:t>
      </w:r>
      <w:r>
        <w:rPr>
          <w:rFonts w:eastAsiaTheme="minorEastAsia" w:hint="eastAsia"/>
          <w:sz w:val="22"/>
          <w:szCs w:val="22"/>
          <w:lang w:eastAsia="ko-KR"/>
        </w:rPr>
        <w:t xml:space="preserve"> </w:t>
      </w:r>
      <w:r>
        <w:rPr>
          <w:rFonts w:eastAsiaTheme="minorEastAsia"/>
          <w:sz w:val="22"/>
          <w:szCs w:val="22"/>
          <w:lang w:eastAsia="ko-KR"/>
        </w:rPr>
        <w:t>is applied for broadcast PDSCH. In current spec, it is not clearly captured whether semi-static RMR can be applied to only unicast PDSCH or in general for all PDSCH. Given that different UE-specific RMR configuration is possible, it is desirable not to apply UE-specific RMR on cell broadcast PDSCHs. In this sense, we propose the followings</w:t>
      </w:r>
      <w:r>
        <w:rPr>
          <w:rFonts w:eastAsiaTheme="minorEastAsia" w:hint="eastAsia"/>
          <w:sz w:val="22"/>
          <w:szCs w:val="22"/>
          <w:lang w:eastAsia="ko-KR"/>
        </w:rPr>
        <w:t>:</w:t>
      </w:r>
    </w:p>
    <w:p w14:paraId="4E57B561" w14:textId="5AC9DA89" w:rsidR="005729DC" w:rsidRDefault="005729DC" w:rsidP="00A403B3">
      <w:pPr>
        <w:ind w:left="0" w:firstLine="0"/>
        <w:rPr>
          <w:rFonts w:eastAsiaTheme="minorEastAsia"/>
          <w:sz w:val="22"/>
          <w:szCs w:val="22"/>
          <w:lang w:eastAsia="ko-KR"/>
        </w:rPr>
      </w:pPr>
      <w:r w:rsidRPr="006C235D">
        <w:rPr>
          <w:b/>
          <w:i/>
          <w:sz w:val="22"/>
          <w:szCs w:val="22"/>
        </w:rPr>
        <w:t xml:space="preserve">Proposal </w:t>
      </w:r>
      <w:r>
        <w:rPr>
          <w:b/>
          <w:i/>
          <w:sz w:val="22"/>
          <w:szCs w:val="22"/>
        </w:rPr>
        <w:t>2</w:t>
      </w:r>
      <w:r w:rsidRPr="006C235D">
        <w:rPr>
          <w:b/>
          <w:i/>
          <w:sz w:val="22"/>
          <w:szCs w:val="22"/>
        </w:rPr>
        <w:t xml:space="preserve">: </w:t>
      </w:r>
      <w:r>
        <w:rPr>
          <w:b/>
          <w:i/>
          <w:sz w:val="22"/>
          <w:szCs w:val="22"/>
        </w:rPr>
        <w:t xml:space="preserve">Clarify </w:t>
      </w:r>
      <w:r w:rsidR="00C6554E">
        <w:rPr>
          <w:b/>
          <w:i/>
          <w:sz w:val="22"/>
          <w:szCs w:val="22"/>
        </w:rPr>
        <w:t xml:space="preserve">that only unicast PDSCH is rate matched around all semi-statically/dynamically configured RMR resources. Cell-broadcast PDSCH will be rate matched around only cell-specifically configured resource. Cell specifically configured resources can include cell-specific DL/UL assignment, cell-specific rate matching resources, and RMSI indicated transmitted SSBs. </w:t>
      </w:r>
    </w:p>
    <w:p w14:paraId="09CF4BB9" w14:textId="77777777" w:rsidR="005729DC" w:rsidRPr="005729DC" w:rsidRDefault="005729DC" w:rsidP="00A403B3">
      <w:pPr>
        <w:ind w:left="0" w:firstLine="0"/>
        <w:rPr>
          <w:rFonts w:eastAsiaTheme="minorEastAsia"/>
          <w:sz w:val="22"/>
          <w:szCs w:val="22"/>
          <w:lang w:eastAsia="ko-KR"/>
        </w:rPr>
      </w:pPr>
    </w:p>
    <w:p w14:paraId="12B03337" w14:textId="683AF839" w:rsidR="00344AEF" w:rsidRDefault="00344AEF" w:rsidP="00C6554E">
      <w:pPr>
        <w:pStyle w:val="1"/>
        <w:numPr>
          <w:ilvl w:val="0"/>
          <w:numId w:val="2"/>
        </w:numPr>
        <w:spacing w:after="0"/>
        <w:rPr>
          <w:rFonts w:eastAsia="바탕" w:cs="Arial"/>
          <w:b/>
          <w:szCs w:val="32"/>
          <w:lang w:eastAsia="ko-KR"/>
        </w:rPr>
      </w:pPr>
      <w:r>
        <w:rPr>
          <w:rFonts w:eastAsia="바탕" w:cs="Arial"/>
          <w:b/>
          <w:szCs w:val="32"/>
          <w:lang w:eastAsia="ko-KR"/>
        </w:rPr>
        <w:t>PDCCH mapping on rate matching resources</w:t>
      </w:r>
    </w:p>
    <w:p w14:paraId="6D07D67E" w14:textId="1CC1F5FD" w:rsidR="006C235D" w:rsidRPr="005C3037" w:rsidRDefault="006C235D" w:rsidP="006C235D">
      <w:pPr>
        <w:ind w:left="0" w:firstLine="0"/>
        <w:rPr>
          <w:rFonts w:eastAsiaTheme="minorEastAsia"/>
          <w:sz w:val="22"/>
          <w:szCs w:val="22"/>
          <w:lang w:eastAsia="ko-KR"/>
        </w:rPr>
      </w:pPr>
      <w:r w:rsidRPr="005C3037">
        <w:rPr>
          <w:rFonts w:eastAsiaTheme="minorEastAsia" w:hint="eastAsia"/>
          <w:sz w:val="22"/>
          <w:szCs w:val="22"/>
          <w:lang w:eastAsia="ko-KR"/>
        </w:rPr>
        <w:t>S</w:t>
      </w:r>
      <w:r w:rsidRPr="005C3037">
        <w:rPr>
          <w:rFonts w:eastAsiaTheme="minorEastAsia"/>
          <w:sz w:val="22"/>
          <w:szCs w:val="22"/>
          <w:lang w:eastAsia="ko-KR"/>
        </w:rPr>
        <w:t xml:space="preserve">o far, it has been agreed to apply semi-statically configured rate matching resources for PDSCH. Also, for dynamically indicated rate matching resources are only for PDSCH. On the other hand, rate matching resources can be also present in PDCCH particularly when search space is present in the middle of slot. In terms of handling of PDCCH, we can consider the following approaches. </w:t>
      </w:r>
    </w:p>
    <w:p w14:paraId="5806B922" w14:textId="58655907" w:rsidR="006C235D" w:rsidRPr="005C3037" w:rsidRDefault="006C235D" w:rsidP="006C235D">
      <w:pPr>
        <w:pStyle w:val="ad"/>
        <w:numPr>
          <w:ilvl w:val="0"/>
          <w:numId w:val="46"/>
        </w:numPr>
        <w:ind w:leftChars="0"/>
        <w:rPr>
          <w:rFonts w:ascii="Times New Roman" w:eastAsiaTheme="minorEastAsia" w:hAnsi="Times New Roman" w:cs="Times New Roman"/>
          <w:sz w:val="22"/>
          <w:szCs w:val="22"/>
        </w:rPr>
      </w:pPr>
      <w:r w:rsidRPr="005C3037">
        <w:rPr>
          <w:rFonts w:ascii="Times New Roman" w:eastAsiaTheme="minorEastAsia" w:hAnsi="Times New Roman" w:cs="Times New Roman"/>
          <w:sz w:val="22"/>
          <w:szCs w:val="22"/>
        </w:rPr>
        <w:t xml:space="preserve">No rate matching on control channel: including SS block, semi-statically configured RMR, a UE may assume that control channel is not rate matched by such resources. As the resources are not allocated to control channel, it is likely that the entire candidate will not be used for that UE. From the UE assumption perspective, a UE assume that control channel is not affected by any rate matching resources. </w:t>
      </w:r>
    </w:p>
    <w:p w14:paraId="581C7FF2" w14:textId="6196C84F" w:rsidR="006C235D" w:rsidRPr="005C3037" w:rsidRDefault="006C235D" w:rsidP="006C235D">
      <w:pPr>
        <w:pStyle w:val="ad"/>
        <w:numPr>
          <w:ilvl w:val="0"/>
          <w:numId w:val="46"/>
        </w:numPr>
        <w:ind w:leftChars="0"/>
        <w:rPr>
          <w:rFonts w:ascii="Times New Roman" w:eastAsiaTheme="minorEastAsia" w:hAnsi="Times New Roman" w:cs="Times New Roman"/>
          <w:sz w:val="22"/>
          <w:szCs w:val="22"/>
        </w:rPr>
      </w:pPr>
      <w:r w:rsidRPr="005C3037">
        <w:rPr>
          <w:rFonts w:ascii="Times New Roman" w:eastAsiaTheme="minorEastAsia" w:hAnsi="Times New Roman" w:cs="Times New Roman" w:hint="eastAsia"/>
          <w:sz w:val="22"/>
          <w:szCs w:val="22"/>
        </w:rPr>
        <w:t>Rate matching on control channel: as the rate matching resource will not be used for control, it</w:t>
      </w:r>
      <w:r w:rsidRPr="005C3037">
        <w:rPr>
          <w:rFonts w:ascii="Times New Roman" w:eastAsiaTheme="minorEastAsia" w:hAnsi="Times New Roman" w:cs="Times New Roman"/>
          <w:sz w:val="22"/>
          <w:szCs w:val="22"/>
        </w:rPr>
        <w:t xml:space="preserve">’s likely that the network would not utilize the candidate overlapping with rate matching resource with the first approach whereas the UE performs blind decoding. To save blind decoding, it can be also considered that a UE can skip monitoring on candidates which are partially or fully overlapped with rate matching resources such as transmitted SS block, dynamically indicated unknown/UL resource, or semi-statically configured rate matching resources. Rate matching only on REs overlapping with such resources are not desirable as the number of REs per each candidate can vary. </w:t>
      </w:r>
    </w:p>
    <w:p w14:paraId="75D2DCCA" w14:textId="1FFB3352" w:rsidR="00344AEF" w:rsidRPr="005C3037" w:rsidRDefault="006C235D" w:rsidP="007A7688">
      <w:pPr>
        <w:ind w:left="0" w:firstLine="0"/>
        <w:rPr>
          <w:rFonts w:eastAsiaTheme="minorEastAsia"/>
          <w:b/>
          <w:i/>
          <w:sz w:val="22"/>
          <w:szCs w:val="22"/>
          <w:lang w:val="en-US" w:eastAsia="ko-KR"/>
        </w:rPr>
      </w:pPr>
      <w:r w:rsidRPr="005C3037">
        <w:rPr>
          <w:rFonts w:eastAsiaTheme="minorEastAsia"/>
          <w:b/>
          <w:i/>
          <w:sz w:val="22"/>
          <w:szCs w:val="22"/>
          <w:lang w:val="en-US" w:eastAsia="ko-KR"/>
        </w:rPr>
        <w:t xml:space="preserve">Proposal </w:t>
      </w:r>
      <w:r w:rsidR="007A7688" w:rsidRPr="005C3037">
        <w:rPr>
          <w:rFonts w:eastAsiaTheme="minorEastAsia"/>
          <w:b/>
          <w:i/>
          <w:sz w:val="22"/>
          <w:szCs w:val="22"/>
          <w:lang w:val="en-US" w:eastAsia="ko-KR"/>
        </w:rPr>
        <w:t>3</w:t>
      </w:r>
      <w:r w:rsidRPr="005C3037">
        <w:rPr>
          <w:rFonts w:eastAsiaTheme="minorEastAsia"/>
          <w:b/>
          <w:i/>
          <w:sz w:val="22"/>
          <w:szCs w:val="22"/>
          <w:lang w:val="en-US" w:eastAsia="ko-KR"/>
        </w:rPr>
        <w:t>: A UE skips monitoring on candidates which are partially or fully overlapped with transmitted SS block, dynamically indicated unknown/UL resource, or semi-statically configured rate matching resources.</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2B8A8185"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6447D">
        <w:rPr>
          <w:rFonts w:eastAsiaTheme="minorEastAsia"/>
          <w:sz w:val="22"/>
          <w:szCs w:val="22"/>
          <w:lang w:eastAsia="ko-KR"/>
        </w:rPr>
        <w:t xml:space="preserve">remaining issues for RMR. </w:t>
      </w:r>
    </w:p>
    <w:p w14:paraId="67187EA1" w14:textId="77777777" w:rsidR="0076447D" w:rsidRPr="005C3037" w:rsidRDefault="0076447D" w:rsidP="0076447D">
      <w:pPr>
        <w:ind w:left="0" w:firstLine="0"/>
        <w:rPr>
          <w:b/>
          <w:i/>
          <w:sz w:val="22"/>
          <w:szCs w:val="22"/>
        </w:rPr>
      </w:pPr>
      <w:r w:rsidRPr="005C3037">
        <w:rPr>
          <w:b/>
          <w:i/>
          <w:sz w:val="22"/>
          <w:szCs w:val="22"/>
        </w:rPr>
        <w:t xml:space="preserve">Proposal 1: In cell-specific configuration, allow configuring only bitmap-1 or bitmap-2. FFS on whether to support also on combined bitmap-1 and bitmap-2. If only bitmap-1 is configured, it applies to the entire symbols/slots. If only bitmap-2 is configured, it applies to the entire frequency. </w:t>
      </w:r>
    </w:p>
    <w:p w14:paraId="16B9F741" w14:textId="77777777" w:rsidR="005C3037" w:rsidRDefault="005C3037" w:rsidP="005C3037">
      <w:pPr>
        <w:ind w:left="0" w:firstLine="0"/>
        <w:rPr>
          <w:b/>
          <w:i/>
          <w:sz w:val="22"/>
          <w:szCs w:val="22"/>
        </w:rPr>
      </w:pPr>
      <w:r w:rsidRPr="006C235D">
        <w:rPr>
          <w:b/>
          <w:i/>
          <w:sz w:val="22"/>
          <w:szCs w:val="22"/>
        </w:rPr>
        <w:t xml:space="preserve">Proposal </w:t>
      </w:r>
      <w:r>
        <w:rPr>
          <w:b/>
          <w:i/>
          <w:sz w:val="22"/>
          <w:szCs w:val="22"/>
        </w:rPr>
        <w:t>2</w:t>
      </w:r>
      <w:r w:rsidRPr="006C235D">
        <w:rPr>
          <w:b/>
          <w:i/>
          <w:sz w:val="22"/>
          <w:szCs w:val="22"/>
        </w:rPr>
        <w:t xml:space="preserve">: </w:t>
      </w:r>
      <w:r>
        <w:rPr>
          <w:b/>
          <w:i/>
          <w:sz w:val="22"/>
          <w:szCs w:val="22"/>
        </w:rPr>
        <w:t>Clarify that only unicast PDSCH is rate matched around all semi-statically/dynamically configured RMR resources. Cell-broadcast PDSCH will be rate matched around only cell-specifically configured resource. Cell specifically configured resources can include cell-specific DL/UL assignment, cell-specific rate matching resources, and RMSI indicated transmitted SSBs.</w:t>
      </w:r>
    </w:p>
    <w:p w14:paraId="5A2E797D" w14:textId="774F2365" w:rsidR="0040725F" w:rsidRPr="005C3037" w:rsidRDefault="0076447D" w:rsidP="005C3037">
      <w:pPr>
        <w:ind w:left="0" w:firstLine="0"/>
        <w:rPr>
          <w:rFonts w:eastAsiaTheme="minorEastAsia" w:hint="eastAsia"/>
          <w:b/>
          <w:i/>
          <w:sz w:val="22"/>
          <w:szCs w:val="22"/>
          <w:lang w:val="en-US" w:eastAsia="ko-KR"/>
        </w:rPr>
      </w:pPr>
      <w:bookmarkStart w:id="3" w:name="_GoBack"/>
      <w:bookmarkEnd w:id="3"/>
      <w:r w:rsidRPr="005C3037">
        <w:rPr>
          <w:rFonts w:eastAsiaTheme="minorEastAsia"/>
          <w:b/>
          <w:i/>
          <w:sz w:val="22"/>
          <w:szCs w:val="22"/>
          <w:lang w:val="en-US" w:eastAsia="ko-KR"/>
        </w:rPr>
        <w:t xml:space="preserve">Proposal </w:t>
      </w:r>
      <w:r w:rsidR="005C3037">
        <w:rPr>
          <w:rFonts w:eastAsiaTheme="minorEastAsia"/>
          <w:b/>
          <w:i/>
          <w:sz w:val="22"/>
          <w:szCs w:val="22"/>
          <w:lang w:val="en-US" w:eastAsia="ko-KR"/>
        </w:rPr>
        <w:t>3</w:t>
      </w:r>
      <w:r w:rsidRPr="005C3037">
        <w:rPr>
          <w:rFonts w:eastAsiaTheme="minorEastAsia"/>
          <w:b/>
          <w:i/>
          <w:sz w:val="22"/>
          <w:szCs w:val="22"/>
          <w:lang w:val="en-US" w:eastAsia="ko-KR"/>
        </w:rPr>
        <w:t>: A UE skips monitoring on candidates which are partially or fully overlapped with transmitted SS block, dynamically indicated unknown/UL resource, or semi-statically configured rate matching resources.</w:t>
      </w:r>
    </w:p>
    <w:p w14:paraId="73FA7FDD" w14:textId="76D450D6" w:rsidR="00DC2083" w:rsidRPr="0068581F" w:rsidRDefault="00C1458F" w:rsidP="0068581F">
      <w:pPr>
        <w:pStyle w:val="1"/>
        <w:numPr>
          <w:ilvl w:val="0"/>
          <w:numId w:val="1"/>
        </w:numPr>
        <w:spacing w:before="180"/>
        <w:rPr>
          <w:rFonts w:eastAsia="바탕"/>
          <w:b/>
          <w:lang w:eastAsia="ko-KR"/>
        </w:rPr>
      </w:pPr>
      <w:r w:rsidRPr="007036D8">
        <w:rPr>
          <w:rFonts w:eastAsia="바탕" w:hint="eastAsia"/>
          <w:b/>
          <w:lang w:eastAsia="ko-KR"/>
        </w:rPr>
        <w:t>Reference</w:t>
      </w:r>
    </w:p>
    <w:sectPr w:rsidR="00DC2083" w:rsidRPr="0068581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C1240" w14:textId="77777777" w:rsidR="00EB2A31" w:rsidRDefault="00EB2A31" w:rsidP="00CB15B0">
      <w:pPr>
        <w:spacing w:before="0" w:after="0" w:line="240" w:lineRule="auto"/>
      </w:pPr>
      <w:r>
        <w:separator/>
      </w:r>
    </w:p>
  </w:endnote>
  <w:endnote w:type="continuationSeparator" w:id="0">
    <w:p w14:paraId="28B7A900" w14:textId="77777777" w:rsidR="00EB2A31" w:rsidRDefault="00EB2A3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558DD" w14:textId="77777777" w:rsidR="00EB2A31" w:rsidRDefault="00EB2A31" w:rsidP="00CB15B0">
      <w:pPr>
        <w:spacing w:before="0" w:after="0" w:line="240" w:lineRule="auto"/>
      </w:pPr>
      <w:r>
        <w:separator/>
      </w:r>
    </w:p>
  </w:footnote>
  <w:footnote w:type="continuationSeparator" w:id="0">
    <w:p w14:paraId="55EBC811" w14:textId="77777777" w:rsidR="00EB2A31" w:rsidRDefault="00EB2A3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3102BA1"/>
    <w:multiLevelType w:val="hybridMultilevel"/>
    <w:tmpl w:val="3E6C3D14"/>
    <w:lvl w:ilvl="0" w:tplc="B4524A84">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463DE"/>
    <w:multiLevelType w:val="hybridMultilevel"/>
    <w:tmpl w:val="290E60F8"/>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1D1AAE"/>
    <w:multiLevelType w:val="hybridMultilevel"/>
    <w:tmpl w:val="6518D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E0F83"/>
    <w:multiLevelType w:val="hybridMultilevel"/>
    <w:tmpl w:val="91C6E6A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E46FE1"/>
    <w:multiLevelType w:val="hybridMultilevel"/>
    <w:tmpl w:val="C23C16D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3DF5A30"/>
    <w:multiLevelType w:val="hybridMultilevel"/>
    <w:tmpl w:val="6FFC7C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318A4100"/>
    <w:multiLevelType w:val="hybridMultilevel"/>
    <w:tmpl w:val="F8489F30"/>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5524A5"/>
    <w:multiLevelType w:val="hybridMultilevel"/>
    <w:tmpl w:val="F822F3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994998"/>
    <w:multiLevelType w:val="hybridMultilevel"/>
    <w:tmpl w:val="200CE5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2E700A"/>
    <w:multiLevelType w:val="hybridMultilevel"/>
    <w:tmpl w:val="EC9CDFE0"/>
    <w:lvl w:ilvl="0" w:tplc="AFB081A0">
      <w:start w:val="585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8E66396"/>
    <w:multiLevelType w:val="hybridMultilevel"/>
    <w:tmpl w:val="6E90E88A"/>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5"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8C36AA5"/>
    <w:multiLevelType w:val="hybridMultilevel"/>
    <w:tmpl w:val="1D9E903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7D4583"/>
    <w:multiLevelType w:val="hybridMultilevel"/>
    <w:tmpl w:val="98E0660A"/>
    <w:lvl w:ilvl="0" w:tplc="5C106EC6">
      <w:start w:val="1"/>
      <w:numFmt w:val="bullet"/>
      <w:lvlText w:val="•"/>
      <w:lvlJc w:val="left"/>
      <w:pPr>
        <w:tabs>
          <w:tab w:val="num" w:pos="720"/>
        </w:tabs>
        <w:ind w:left="720" w:hanging="360"/>
      </w:pPr>
      <w:rPr>
        <w:rFonts w:ascii="Arial" w:hAnsi="Arial" w:hint="default"/>
      </w:rPr>
    </w:lvl>
    <w:lvl w:ilvl="1" w:tplc="05223E26">
      <w:numFmt w:val="bullet"/>
      <w:lvlText w:val="-"/>
      <w:lvlJc w:val="left"/>
      <w:pPr>
        <w:ind w:left="1595" w:hanging="795"/>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57D3218"/>
    <w:multiLevelType w:val="hybridMultilevel"/>
    <w:tmpl w:val="5D5020EE"/>
    <w:lvl w:ilvl="0" w:tplc="B41C4E76">
      <w:start w:val="2"/>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6DAB76DC"/>
    <w:multiLevelType w:val="hybridMultilevel"/>
    <w:tmpl w:val="0FE4F956"/>
    <w:lvl w:ilvl="0" w:tplc="EBA481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5"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2"/>
  </w:num>
  <w:num w:numId="2">
    <w:abstractNumId w:val="42"/>
  </w:num>
  <w:num w:numId="3">
    <w:abstractNumId w:val="0"/>
  </w:num>
  <w:num w:numId="4">
    <w:abstractNumId w:val="26"/>
  </w:num>
  <w:num w:numId="5">
    <w:abstractNumId w:val="13"/>
  </w:num>
  <w:num w:numId="6">
    <w:abstractNumId w:val="11"/>
  </w:num>
  <w:num w:numId="7">
    <w:abstractNumId w:val="43"/>
  </w:num>
  <w:num w:numId="8">
    <w:abstractNumId w:val="33"/>
  </w:num>
  <w:num w:numId="9">
    <w:abstractNumId w:val="23"/>
  </w:num>
  <w:num w:numId="10">
    <w:abstractNumId w:val="29"/>
  </w:num>
  <w:num w:numId="11">
    <w:abstractNumId w:val="46"/>
  </w:num>
  <w:num w:numId="12">
    <w:abstractNumId w:val="30"/>
  </w:num>
  <w:num w:numId="13">
    <w:abstractNumId w:val="18"/>
  </w:num>
  <w:num w:numId="14">
    <w:abstractNumId w:val="21"/>
  </w:num>
  <w:num w:numId="15">
    <w:abstractNumId w:val="44"/>
  </w:num>
  <w:num w:numId="16">
    <w:abstractNumId w:val="15"/>
  </w:num>
  <w:num w:numId="17">
    <w:abstractNumId w:val="10"/>
  </w:num>
  <w:num w:numId="18">
    <w:abstractNumId w:val="17"/>
  </w:num>
  <w:num w:numId="19">
    <w:abstractNumId w:val="27"/>
  </w:num>
  <w:num w:numId="20">
    <w:abstractNumId w:val="45"/>
  </w:num>
  <w:num w:numId="21">
    <w:abstractNumId w:val="34"/>
  </w:num>
  <w:num w:numId="22">
    <w:abstractNumId w:val="1"/>
  </w:num>
  <w:num w:numId="23">
    <w:abstractNumId w:val="35"/>
  </w:num>
  <w:num w:numId="24">
    <w:abstractNumId w:val="24"/>
  </w:num>
  <w:num w:numId="25">
    <w:abstractNumId w:val="25"/>
  </w:num>
  <w:num w:numId="26">
    <w:abstractNumId w:val="28"/>
  </w:num>
  <w:num w:numId="27">
    <w:abstractNumId w:val="5"/>
  </w:num>
  <w:num w:numId="28">
    <w:abstractNumId w:val="16"/>
  </w:num>
  <w:num w:numId="29">
    <w:abstractNumId w:val="36"/>
  </w:num>
  <w:num w:numId="30">
    <w:abstractNumId w:val="32"/>
  </w:num>
  <w:num w:numId="31">
    <w:abstractNumId w:val="38"/>
  </w:num>
  <w:num w:numId="32">
    <w:abstractNumId w:val="14"/>
  </w:num>
  <w:num w:numId="33">
    <w:abstractNumId w:val="20"/>
  </w:num>
  <w:num w:numId="34">
    <w:abstractNumId w:val="7"/>
  </w:num>
  <w:num w:numId="35">
    <w:abstractNumId w:val="22"/>
  </w:num>
  <w:num w:numId="36">
    <w:abstractNumId w:val="12"/>
  </w:num>
  <w:num w:numId="37">
    <w:abstractNumId w:val="39"/>
  </w:num>
  <w:num w:numId="38">
    <w:abstractNumId w:val="8"/>
  </w:num>
  <w:num w:numId="39">
    <w:abstractNumId w:val="9"/>
  </w:num>
  <w:num w:numId="40">
    <w:abstractNumId w:val="37"/>
  </w:num>
  <w:num w:numId="41">
    <w:abstractNumId w:val="3"/>
  </w:num>
  <w:num w:numId="42">
    <w:abstractNumId w:val="40"/>
  </w:num>
  <w:num w:numId="43">
    <w:abstractNumId w:val="19"/>
  </w:num>
  <w:num w:numId="44">
    <w:abstractNumId w:val="6"/>
  </w:num>
  <w:num w:numId="45">
    <w:abstractNumId w:val="2"/>
  </w:num>
  <w:num w:numId="46">
    <w:abstractNumId w:val="41"/>
  </w:num>
  <w:num w:numId="47">
    <w:abstractNumId w:val="31"/>
  </w:num>
  <w:num w:numId="4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423"/>
    <w:rsid w:val="00002ADB"/>
    <w:rsid w:val="00002E3E"/>
    <w:rsid w:val="00005297"/>
    <w:rsid w:val="000052D1"/>
    <w:rsid w:val="00005320"/>
    <w:rsid w:val="00005AAF"/>
    <w:rsid w:val="00005DA2"/>
    <w:rsid w:val="00006109"/>
    <w:rsid w:val="00006478"/>
    <w:rsid w:val="000065FB"/>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AE7"/>
    <w:rsid w:val="00020F2B"/>
    <w:rsid w:val="000219C9"/>
    <w:rsid w:val="00021CF8"/>
    <w:rsid w:val="00022077"/>
    <w:rsid w:val="0002220F"/>
    <w:rsid w:val="000227D0"/>
    <w:rsid w:val="0002290A"/>
    <w:rsid w:val="00022CB1"/>
    <w:rsid w:val="000234FA"/>
    <w:rsid w:val="00024B00"/>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8BB"/>
    <w:rsid w:val="00053BFE"/>
    <w:rsid w:val="00054D18"/>
    <w:rsid w:val="00055773"/>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4BE"/>
    <w:rsid w:val="00065512"/>
    <w:rsid w:val="000655DF"/>
    <w:rsid w:val="00065917"/>
    <w:rsid w:val="000659C8"/>
    <w:rsid w:val="00065B5A"/>
    <w:rsid w:val="00065FCA"/>
    <w:rsid w:val="0006663E"/>
    <w:rsid w:val="00066B5D"/>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BB"/>
    <w:rsid w:val="000923CD"/>
    <w:rsid w:val="00092991"/>
    <w:rsid w:val="000929FB"/>
    <w:rsid w:val="00092C97"/>
    <w:rsid w:val="00092CC3"/>
    <w:rsid w:val="00094181"/>
    <w:rsid w:val="00094CA0"/>
    <w:rsid w:val="00094FAD"/>
    <w:rsid w:val="00095000"/>
    <w:rsid w:val="00095452"/>
    <w:rsid w:val="000958BE"/>
    <w:rsid w:val="00095BF5"/>
    <w:rsid w:val="000962F7"/>
    <w:rsid w:val="000967B3"/>
    <w:rsid w:val="00096832"/>
    <w:rsid w:val="00096BA2"/>
    <w:rsid w:val="00097A46"/>
    <w:rsid w:val="00097B72"/>
    <w:rsid w:val="000A0304"/>
    <w:rsid w:val="000A0AD7"/>
    <w:rsid w:val="000A0EEB"/>
    <w:rsid w:val="000A2601"/>
    <w:rsid w:val="000A335C"/>
    <w:rsid w:val="000A39C9"/>
    <w:rsid w:val="000A3CB8"/>
    <w:rsid w:val="000A4550"/>
    <w:rsid w:val="000A49FE"/>
    <w:rsid w:val="000A5596"/>
    <w:rsid w:val="000A6022"/>
    <w:rsid w:val="000A664A"/>
    <w:rsid w:val="000A682E"/>
    <w:rsid w:val="000A6D33"/>
    <w:rsid w:val="000A761B"/>
    <w:rsid w:val="000B0147"/>
    <w:rsid w:val="000B074A"/>
    <w:rsid w:val="000B0804"/>
    <w:rsid w:val="000B0D6A"/>
    <w:rsid w:val="000B0E82"/>
    <w:rsid w:val="000B1172"/>
    <w:rsid w:val="000B1382"/>
    <w:rsid w:val="000B13D9"/>
    <w:rsid w:val="000B14F8"/>
    <w:rsid w:val="000B1C89"/>
    <w:rsid w:val="000B1ED3"/>
    <w:rsid w:val="000B2A7E"/>
    <w:rsid w:val="000B2AF6"/>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B79"/>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A7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DE1"/>
    <w:rsid w:val="000F1FDE"/>
    <w:rsid w:val="000F26D1"/>
    <w:rsid w:val="000F2F68"/>
    <w:rsid w:val="000F3707"/>
    <w:rsid w:val="000F386C"/>
    <w:rsid w:val="000F4EC1"/>
    <w:rsid w:val="000F5303"/>
    <w:rsid w:val="000F5859"/>
    <w:rsid w:val="000F5DC4"/>
    <w:rsid w:val="000F65E7"/>
    <w:rsid w:val="000F6A4D"/>
    <w:rsid w:val="000F7099"/>
    <w:rsid w:val="000F7390"/>
    <w:rsid w:val="000F7496"/>
    <w:rsid w:val="000F7AF8"/>
    <w:rsid w:val="000F7DFC"/>
    <w:rsid w:val="000F7F52"/>
    <w:rsid w:val="00100CB2"/>
    <w:rsid w:val="00100D16"/>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2F5"/>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B25"/>
    <w:rsid w:val="00126BF6"/>
    <w:rsid w:val="001270B7"/>
    <w:rsid w:val="0012755B"/>
    <w:rsid w:val="001301F8"/>
    <w:rsid w:val="0013021F"/>
    <w:rsid w:val="00130274"/>
    <w:rsid w:val="00130343"/>
    <w:rsid w:val="00130A55"/>
    <w:rsid w:val="00130D52"/>
    <w:rsid w:val="00130E34"/>
    <w:rsid w:val="00130F73"/>
    <w:rsid w:val="00131464"/>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50"/>
    <w:rsid w:val="00160AD9"/>
    <w:rsid w:val="00160B0C"/>
    <w:rsid w:val="001615C0"/>
    <w:rsid w:val="00161EEA"/>
    <w:rsid w:val="00162D48"/>
    <w:rsid w:val="00162FE4"/>
    <w:rsid w:val="001636C4"/>
    <w:rsid w:val="00163C8F"/>
    <w:rsid w:val="00163FBD"/>
    <w:rsid w:val="00164A9C"/>
    <w:rsid w:val="0016558F"/>
    <w:rsid w:val="00165603"/>
    <w:rsid w:val="001658E3"/>
    <w:rsid w:val="00165FE6"/>
    <w:rsid w:val="00166176"/>
    <w:rsid w:val="001661B3"/>
    <w:rsid w:val="001662C3"/>
    <w:rsid w:val="001669FB"/>
    <w:rsid w:val="00166DF6"/>
    <w:rsid w:val="00167055"/>
    <w:rsid w:val="001671D3"/>
    <w:rsid w:val="001674F6"/>
    <w:rsid w:val="001679AB"/>
    <w:rsid w:val="001709A9"/>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25"/>
    <w:rsid w:val="00176661"/>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5347"/>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3D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A47"/>
    <w:rsid w:val="001D0B5D"/>
    <w:rsid w:val="001D0CF0"/>
    <w:rsid w:val="001D1524"/>
    <w:rsid w:val="001D1B71"/>
    <w:rsid w:val="001D2012"/>
    <w:rsid w:val="001D22B0"/>
    <w:rsid w:val="001D3464"/>
    <w:rsid w:val="001D358A"/>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177"/>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271"/>
    <w:rsid w:val="00200B34"/>
    <w:rsid w:val="00200CC6"/>
    <w:rsid w:val="00200D43"/>
    <w:rsid w:val="00201C18"/>
    <w:rsid w:val="00201DCF"/>
    <w:rsid w:val="00202542"/>
    <w:rsid w:val="00202689"/>
    <w:rsid w:val="00202CE8"/>
    <w:rsid w:val="00202E8E"/>
    <w:rsid w:val="00203156"/>
    <w:rsid w:val="0020358E"/>
    <w:rsid w:val="002037C0"/>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79F"/>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BE6"/>
    <w:rsid w:val="00236FB8"/>
    <w:rsid w:val="002370CB"/>
    <w:rsid w:val="00237F34"/>
    <w:rsid w:val="00237F71"/>
    <w:rsid w:val="0024069C"/>
    <w:rsid w:val="00240A2C"/>
    <w:rsid w:val="002410B3"/>
    <w:rsid w:val="00242273"/>
    <w:rsid w:val="0024402E"/>
    <w:rsid w:val="0024435D"/>
    <w:rsid w:val="002443B6"/>
    <w:rsid w:val="00244DBB"/>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777"/>
    <w:rsid w:val="00253BB2"/>
    <w:rsid w:val="00254501"/>
    <w:rsid w:val="0025459C"/>
    <w:rsid w:val="00256280"/>
    <w:rsid w:val="002562C4"/>
    <w:rsid w:val="00256E32"/>
    <w:rsid w:val="00257486"/>
    <w:rsid w:val="00257979"/>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159"/>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B24"/>
    <w:rsid w:val="00286CD9"/>
    <w:rsid w:val="002876BB"/>
    <w:rsid w:val="002877F9"/>
    <w:rsid w:val="0028794F"/>
    <w:rsid w:val="00287A91"/>
    <w:rsid w:val="00287A94"/>
    <w:rsid w:val="00287DE5"/>
    <w:rsid w:val="002900BA"/>
    <w:rsid w:val="00290A0C"/>
    <w:rsid w:val="00292461"/>
    <w:rsid w:val="0029319A"/>
    <w:rsid w:val="002932F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715"/>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1EF"/>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85B"/>
    <w:rsid w:val="002D7AE1"/>
    <w:rsid w:val="002D7CA3"/>
    <w:rsid w:val="002E0746"/>
    <w:rsid w:val="002E08AD"/>
    <w:rsid w:val="002E08BC"/>
    <w:rsid w:val="002E0BC1"/>
    <w:rsid w:val="002E220D"/>
    <w:rsid w:val="002E244F"/>
    <w:rsid w:val="002E3296"/>
    <w:rsid w:val="002E3AE2"/>
    <w:rsid w:val="002E421E"/>
    <w:rsid w:val="002E4C7D"/>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4C4C"/>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C91"/>
    <w:rsid w:val="00331F8E"/>
    <w:rsid w:val="00332761"/>
    <w:rsid w:val="0033374A"/>
    <w:rsid w:val="00333EDA"/>
    <w:rsid w:val="003342BB"/>
    <w:rsid w:val="00334C49"/>
    <w:rsid w:val="00335033"/>
    <w:rsid w:val="00335BAE"/>
    <w:rsid w:val="00335C2C"/>
    <w:rsid w:val="00335CF2"/>
    <w:rsid w:val="00335D10"/>
    <w:rsid w:val="00335E50"/>
    <w:rsid w:val="00336376"/>
    <w:rsid w:val="00336434"/>
    <w:rsid w:val="00336675"/>
    <w:rsid w:val="00337E31"/>
    <w:rsid w:val="00337EE5"/>
    <w:rsid w:val="0034008E"/>
    <w:rsid w:val="0034011F"/>
    <w:rsid w:val="00340AB1"/>
    <w:rsid w:val="0034227B"/>
    <w:rsid w:val="003426D1"/>
    <w:rsid w:val="00343634"/>
    <w:rsid w:val="00343736"/>
    <w:rsid w:val="0034389D"/>
    <w:rsid w:val="00344865"/>
    <w:rsid w:val="00344AEF"/>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6E7E"/>
    <w:rsid w:val="00367B5C"/>
    <w:rsid w:val="00367CD5"/>
    <w:rsid w:val="00367EA8"/>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CF1"/>
    <w:rsid w:val="00377D6C"/>
    <w:rsid w:val="00377FC8"/>
    <w:rsid w:val="00380BD9"/>
    <w:rsid w:val="00380F89"/>
    <w:rsid w:val="003812DF"/>
    <w:rsid w:val="0038163B"/>
    <w:rsid w:val="00381868"/>
    <w:rsid w:val="00381CC0"/>
    <w:rsid w:val="003822E1"/>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68"/>
    <w:rsid w:val="003A3DEA"/>
    <w:rsid w:val="003A40C6"/>
    <w:rsid w:val="003A4572"/>
    <w:rsid w:val="003A475B"/>
    <w:rsid w:val="003A47A7"/>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3C57"/>
    <w:rsid w:val="003B40B8"/>
    <w:rsid w:val="003B4252"/>
    <w:rsid w:val="003B511C"/>
    <w:rsid w:val="003B52EF"/>
    <w:rsid w:val="003B5521"/>
    <w:rsid w:val="003B56D7"/>
    <w:rsid w:val="003B5FFA"/>
    <w:rsid w:val="003B6537"/>
    <w:rsid w:val="003B7417"/>
    <w:rsid w:val="003B7782"/>
    <w:rsid w:val="003B7B32"/>
    <w:rsid w:val="003B7FFA"/>
    <w:rsid w:val="003C0697"/>
    <w:rsid w:val="003C0C03"/>
    <w:rsid w:val="003C0FE1"/>
    <w:rsid w:val="003C14E0"/>
    <w:rsid w:val="003C1FCC"/>
    <w:rsid w:val="003C22BA"/>
    <w:rsid w:val="003C232B"/>
    <w:rsid w:val="003C254B"/>
    <w:rsid w:val="003C3303"/>
    <w:rsid w:val="003C3399"/>
    <w:rsid w:val="003C35C8"/>
    <w:rsid w:val="003C38FD"/>
    <w:rsid w:val="003C39AB"/>
    <w:rsid w:val="003C45A0"/>
    <w:rsid w:val="003C4A7C"/>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C62"/>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25F"/>
    <w:rsid w:val="00407329"/>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4B3"/>
    <w:rsid w:val="0044666A"/>
    <w:rsid w:val="0044668F"/>
    <w:rsid w:val="00447B46"/>
    <w:rsid w:val="00447E12"/>
    <w:rsid w:val="00447F2D"/>
    <w:rsid w:val="00450365"/>
    <w:rsid w:val="00450B78"/>
    <w:rsid w:val="00450CDE"/>
    <w:rsid w:val="00450EFF"/>
    <w:rsid w:val="00452109"/>
    <w:rsid w:val="00452C20"/>
    <w:rsid w:val="00452C56"/>
    <w:rsid w:val="00452C8B"/>
    <w:rsid w:val="004536ED"/>
    <w:rsid w:val="004537B5"/>
    <w:rsid w:val="00453CB1"/>
    <w:rsid w:val="00454360"/>
    <w:rsid w:val="004545C8"/>
    <w:rsid w:val="00454D04"/>
    <w:rsid w:val="00454E2A"/>
    <w:rsid w:val="00454F97"/>
    <w:rsid w:val="004554A1"/>
    <w:rsid w:val="00455DC9"/>
    <w:rsid w:val="00455E7D"/>
    <w:rsid w:val="0045649B"/>
    <w:rsid w:val="00456F3D"/>
    <w:rsid w:val="004575EF"/>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6CE"/>
    <w:rsid w:val="00466DDC"/>
    <w:rsid w:val="00466E66"/>
    <w:rsid w:val="00467150"/>
    <w:rsid w:val="004674B9"/>
    <w:rsid w:val="004677A2"/>
    <w:rsid w:val="0046786B"/>
    <w:rsid w:val="004704D4"/>
    <w:rsid w:val="00470D19"/>
    <w:rsid w:val="00471271"/>
    <w:rsid w:val="00471716"/>
    <w:rsid w:val="004718C9"/>
    <w:rsid w:val="004720C6"/>
    <w:rsid w:val="0047219C"/>
    <w:rsid w:val="004723E8"/>
    <w:rsid w:val="004727AD"/>
    <w:rsid w:val="00473921"/>
    <w:rsid w:val="00473F03"/>
    <w:rsid w:val="00473FA6"/>
    <w:rsid w:val="00474165"/>
    <w:rsid w:val="004743FC"/>
    <w:rsid w:val="004744DB"/>
    <w:rsid w:val="00474E8D"/>
    <w:rsid w:val="00475096"/>
    <w:rsid w:val="00475228"/>
    <w:rsid w:val="00475639"/>
    <w:rsid w:val="00476F9E"/>
    <w:rsid w:val="00477603"/>
    <w:rsid w:val="00477A7E"/>
    <w:rsid w:val="00477CDD"/>
    <w:rsid w:val="00480C89"/>
    <w:rsid w:val="00481460"/>
    <w:rsid w:val="0048158D"/>
    <w:rsid w:val="004819CD"/>
    <w:rsid w:val="00481E46"/>
    <w:rsid w:val="00482685"/>
    <w:rsid w:val="00482FF2"/>
    <w:rsid w:val="004832ED"/>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43A"/>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2FF"/>
    <w:rsid w:val="00495595"/>
    <w:rsid w:val="00497086"/>
    <w:rsid w:val="004971B2"/>
    <w:rsid w:val="0049735B"/>
    <w:rsid w:val="0049748C"/>
    <w:rsid w:val="00497A67"/>
    <w:rsid w:val="004A030E"/>
    <w:rsid w:val="004A041F"/>
    <w:rsid w:val="004A043F"/>
    <w:rsid w:val="004A0622"/>
    <w:rsid w:val="004A1340"/>
    <w:rsid w:val="004A1EA1"/>
    <w:rsid w:val="004A36BE"/>
    <w:rsid w:val="004A4087"/>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A75"/>
    <w:rsid w:val="004B0C82"/>
    <w:rsid w:val="004B17F2"/>
    <w:rsid w:val="004B28F4"/>
    <w:rsid w:val="004B2B4C"/>
    <w:rsid w:val="004B37A1"/>
    <w:rsid w:val="004B464E"/>
    <w:rsid w:val="004B47E3"/>
    <w:rsid w:val="004B4930"/>
    <w:rsid w:val="004B4D7C"/>
    <w:rsid w:val="004B4F1E"/>
    <w:rsid w:val="004B5206"/>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5EF8"/>
    <w:rsid w:val="004E64C8"/>
    <w:rsid w:val="004E6B76"/>
    <w:rsid w:val="004E7048"/>
    <w:rsid w:val="004E78D9"/>
    <w:rsid w:val="004E79D6"/>
    <w:rsid w:val="004F02C2"/>
    <w:rsid w:val="004F02E4"/>
    <w:rsid w:val="004F04CF"/>
    <w:rsid w:val="004F0A1B"/>
    <w:rsid w:val="004F0ABE"/>
    <w:rsid w:val="004F13BF"/>
    <w:rsid w:val="004F13D8"/>
    <w:rsid w:val="004F1520"/>
    <w:rsid w:val="004F156D"/>
    <w:rsid w:val="004F1861"/>
    <w:rsid w:val="004F1BB9"/>
    <w:rsid w:val="004F25C6"/>
    <w:rsid w:val="004F342F"/>
    <w:rsid w:val="004F36D3"/>
    <w:rsid w:val="004F37DA"/>
    <w:rsid w:val="004F3C19"/>
    <w:rsid w:val="004F441B"/>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9B"/>
    <w:rsid w:val="005308D0"/>
    <w:rsid w:val="00530A78"/>
    <w:rsid w:val="0053118F"/>
    <w:rsid w:val="00531BEF"/>
    <w:rsid w:val="00531D99"/>
    <w:rsid w:val="00531E00"/>
    <w:rsid w:val="00533C64"/>
    <w:rsid w:val="00533E41"/>
    <w:rsid w:val="00533EC3"/>
    <w:rsid w:val="005345D2"/>
    <w:rsid w:val="00534A0F"/>
    <w:rsid w:val="005353BA"/>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29DC"/>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3B2"/>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1FF"/>
    <w:rsid w:val="005A73BF"/>
    <w:rsid w:val="005A780E"/>
    <w:rsid w:val="005A79FE"/>
    <w:rsid w:val="005A7BA7"/>
    <w:rsid w:val="005B034C"/>
    <w:rsid w:val="005B0CB9"/>
    <w:rsid w:val="005B134F"/>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37"/>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5C1"/>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395"/>
    <w:rsid w:val="005E7431"/>
    <w:rsid w:val="005E792F"/>
    <w:rsid w:val="005E7996"/>
    <w:rsid w:val="005F0740"/>
    <w:rsid w:val="005F0818"/>
    <w:rsid w:val="005F0BEC"/>
    <w:rsid w:val="005F0C1E"/>
    <w:rsid w:val="005F1850"/>
    <w:rsid w:val="005F1AEF"/>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6BE"/>
    <w:rsid w:val="00612F7E"/>
    <w:rsid w:val="006130D9"/>
    <w:rsid w:val="0061361E"/>
    <w:rsid w:val="00613656"/>
    <w:rsid w:val="006140AC"/>
    <w:rsid w:val="00614325"/>
    <w:rsid w:val="00614447"/>
    <w:rsid w:val="00614880"/>
    <w:rsid w:val="00614BB1"/>
    <w:rsid w:val="0061531C"/>
    <w:rsid w:val="00615E43"/>
    <w:rsid w:val="0061660B"/>
    <w:rsid w:val="00616DF4"/>
    <w:rsid w:val="00617340"/>
    <w:rsid w:val="00617394"/>
    <w:rsid w:val="006173FF"/>
    <w:rsid w:val="006179C6"/>
    <w:rsid w:val="00617ADD"/>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60E"/>
    <w:rsid w:val="00663F87"/>
    <w:rsid w:val="00664B4E"/>
    <w:rsid w:val="00665378"/>
    <w:rsid w:val="006653C0"/>
    <w:rsid w:val="0066544C"/>
    <w:rsid w:val="0066568E"/>
    <w:rsid w:val="006656A0"/>
    <w:rsid w:val="006659B6"/>
    <w:rsid w:val="00665E4E"/>
    <w:rsid w:val="006665F6"/>
    <w:rsid w:val="006668C5"/>
    <w:rsid w:val="006668D1"/>
    <w:rsid w:val="006671B0"/>
    <w:rsid w:val="0066776B"/>
    <w:rsid w:val="00670718"/>
    <w:rsid w:val="00670ACC"/>
    <w:rsid w:val="006710B2"/>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0FB"/>
    <w:rsid w:val="00681475"/>
    <w:rsid w:val="00681811"/>
    <w:rsid w:val="00681C57"/>
    <w:rsid w:val="00681CDC"/>
    <w:rsid w:val="00681CE1"/>
    <w:rsid w:val="00681D96"/>
    <w:rsid w:val="00682130"/>
    <w:rsid w:val="006831BA"/>
    <w:rsid w:val="006831DF"/>
    <w:rsid w:val="00683224"/>
    <w:rsid w:val="006838A4"/>
    <w:rsid w:val="00683DA2"/>
    <w:rsid w:val="00683EC6"/>
    <w:rsid w:val="0068461D"/>
    <w:rsid w:val="00684855"/>
    <w:rsid w:val="00684A2C"/>
    <w:rsid w:val="0068581F"/>
    <w:rsid w:val="00685CD4"/>
    <w:rsid w:val="00686126"/>
    <w:rsid w:val="006868B9"/>
    <w:rsid w:val="00686934"/>
    <w:rsid w:val="00687038"/>
    <w:rsid w:val="006870F6"/>
    <w:rsid w:val="006875BB"/>
    <w:rsid w:val="006877B4"/>
    <w:rsid w:val="006879B9"/>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5D"/>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87E"/>
    <w:rsid w:val="006B3C1E"/>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260"/>
    <w:rsid w:val="006C1393"/>
    <w:rsid w:val="006C1CC6"/>
    <w:rsid w:val="006C2032"/>
    <w:rsid w:val="006C235D"/>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037B"/>
    <w:rsid w:val="006F1E61"/>
    <w:rsid w:val="006F218F"/>
    <w:rsid w:val="006F3158"/>
    <w:rsid w:val="006F33A4"/>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484"/>
    <w:rsid w:val="00701911"/>
    <w:rsid w:val="0070192F"/>
    <w:rsid w:val="00701CE8"/>
    <w:rsid w:val="00701E1C"/>
    <w:rsid w:val="007027DF"/>
    <w:rsid w:val="00702F5F"/>
    <w:rsid w:val="007036D8"/>
    <w:rsid w:val="00704231"/>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F0E"/>
    <w:rsid w:val="0071227D"/>
    <w:rsid w:val="0071232C"/>
    <w:rsid w:val="00712706"/>
    <w:rsid w:val="00712E43"/>
    <w:rsid w:val="007139A0"/>
    <w:rsid w:val="00713E47"/>
    <w:rsid w:val="0071495C"/>
    <w:rsid w:val="0071645C"/>
    <w:rsid w:val="007169C7"/>
    <w:rsid w:val="00717193"/>
    <w:rsid w:val="007174FE"/>
    <w:rsid w:val="00720114"/>
    <w:rsid w:val="007202C5"/>
    <w:rsid w:val="00720CF9"/>
    <w:rsid w:val="007213B5"/>
    <w:rsid w:val="0072222F"/>
    <w:rsid w:val="0072265E"/>
    <w:rsid w:val="00722A7A"/>
    <w:rsid w:val="00722C18"/>
    <w:rsid w:val="00722C39"/>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5AE"/>
    <w:rsid w:val="0074162F"/>
    <w:rsid w:val="00741913"/>
    <w:rsid w:val="00741B66"/>
    <w:rsid w:val="0074315C"/>
    <w:rsid w:val="00743164"/>
    <w:rsid w:val="007434EE"/>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85"/>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47D"/>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310"/>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BAB"/>
    <w:rsid w:val="00785C76"/>
    <w:rsid w:val="00786091"/>
    <w:rsid w:val="0078736A"/>
    <w:rsid w:val="00787525"/>
    <w:rsid w:val="007876A3"/>
    <w:rsid w:val="00790B68"/>
    <w:rsid w:val="00790F12"/>
    <w:rsid w:val="007912DE"/>
    <w:rsid w:val="00792D3C"/>
    <w:rsid w:val="00794460"/>
    <w:rsid w:val="00794E27"/>
    <w:rsid w:val="007954F6"/>
    <w:rsid w:val="00795C14"/>
    <w:rsid w:val="00795E1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6CF2"/>
    <w:rsid w:val="007A75A0"/>
    <w:rsid w:val="007A7688"/>
    <w:rsid w:val="007A79B5"/>
    <w:rsid w:val="007A7E45"/>
    <w:rsid w:val="007A7F71"/>
    <w:rsid w:val="007B00A8"/>
    <w:rsid w:val="007B07B6"/>
    <w:rsid w:val="007B0A7F"/>
    <w:rsid w:val="007B0B17"/>
    <w:rsid w:val="007B1103"/>
    <w:rsid w:val="007B1C66"/>
    <w:rsid w:val="007B2068"/>
    <w:rsid w:val="007B20E3"/>
    <w:rsid w:val="007B33E9"/>
    <w:rsid w:val="007B3AB6"/>
    <w:rsid w:val="007B4326"/>
    <w:rsid w:val="007B529F"/>
    <w:rsid w:val="007B594A"/>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578"/>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1E4C"/>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1BA"/>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4658"/>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323"/>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AB6"/>
    <w:rsid w:val="00837D0D"/>
    <w:rsid w:val="00840B73"/>
    <w:rsid w:val="00840D1C"/>
    <w:rsid w:val="00841620"/>
    <w:rsid w:val="00841E68"/>
    <w:rsid w:val="00842192"/>
    <w:rsid w:val="00842316"/>
    <w:rsid w:val="0084339F"/>
    <w:rsid w:val="00843966"/>
    <w:rsid w:val="00843AC7"/>
    <w:rsid w:val="0084410B"/>
    <w:rsid w:val="00844520"/>
    <w:rsid w:val="008462B3"/>
    <w:rsid w:val="008471B5"/>
    <w:rsid w:val="00847417"/>
    <w:rsid w:val="00847480"/>
    <w:rsid w:val="008474A3"/>
    <w:rsid w:val="00850668"/>
    <w:rsid w:val="008507B8"/>
    <w:rsid w:val="00850848"/>
    <w:rsid w:val="008512FC"/>
    <w:rsid w:val="00852A76"/>
    <w:rsid w:val="008539BD"/>
    <w:rsid w:val="00853D16"/>
    <w:rsid w:val="00853D36"/>
    <w:rsid w:val="00853F44"/>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4F"/>
    <w:rsid w:val="00861BAB"/>
    <w:rsid w:val="00862462"/>
    <w:rsid w:val="008634BD"/>
    <w:rsid w:val="008639D0"/>
    <w:rsid w:val="00864434"/>
    <w:rsid w:val="008658EB"/>
    <w:rsid w:val="00865998"/>
    <w:rsid w:val="00865DB1"/>
    <w:rsid w:val="0086779C"/>
    <w:rsid w:val="00867A18"/>
    <w:rsid w:val="00867A51"/>
    <w:rsid w:val="00870556"/>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7DC"/>
    <w:rsid w:val="00895A3D"/>
    <w:rsid w:val="00895A87"/>
    <w:rsid w:val="00895BD3"/>
    <w:rsid w:val="00895C95"/>
    <w:rsid w:val="00895FC3"/>
    <w:rsid w:val="00895FFD"/>
    <w:rsid w:val="008960FA"/>
    <w:rsid w:val="0089650B"/>
    <w:rsid w:val="00896919"/>
    <w:rsid w:val="0089721F"/>
    <w:rsid w:val="00897634"/>
    <w:rsid w:val="008A0A71"/>
    <w:rsid w:val="008A0F31"/>
    <w:rsid w:val="008A10A5"/>
    <w:rsid w:val="008A1509"/>
    <w:rsid w:val="008A16D7"/>
    <w:rsid w:val="008A189D"/>
    <w:rsid w:val="008A22CE"/>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75"/>
    <w:rsid w:val="008C59CA"/>
    <w:rsid w:val="008C610B"/>
    <w:rsid w:val="008C74B6"/>
    <w:rsid w:val="008C7645"/>
    <w:rsid w:val="008C79F2"/>
    <w:rsid w:val="008D06AD"/>
    <w:rsid w:val="008D0A52"/>
    <w:rsid w:val="008D1968"/>
    <w:rsid w:val="008D1AB4"/>
    <w:rsid w:val="008D1B7E"/>
    <w:rsid w:val="008D2253"/>
    <w:rsid w:val="008D2C0A"/>
    <w:rsid w:val="008D398E"/>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66D"/>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7D9"/>
    <w:rsid w:val="009009C5"/>
    <w:rsid w:val="00900E50"/>
    <w:rsid w:val="0090148F"/>
    <w:rsid w:val="00901917"/>
    <w:rsid w:val="00901E6F"/>
    <w:rsid w:val="009029D4"/>
    <w:rsid w:val="009029F0"/>
    <w:rsid w:val="00903254"/>
    <w:rsid w:val="0090369A"/>
    <w:rsid w:val="00903A4D"/>
    <w:rsid w:val="009040EB"/>
    <w:rsid w:val="00904483"/>
    <w:rsid w:val="00904716"/>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B53"/>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1BE4"/>
    <w:rsid w:val="009426A8"/>
    <w:rsid w:val="00942992"/>
    <w:rsid w:val="00942BE5"/>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595A"/>
    <w:rsid w:val="00956052"/>
    <w:rsid w:val="0095629E"/>
    <w:rsid w:val="009566EA"/>
    <w:rsid w:val="00956743"/>
    <w:rsid w:val="00956C7D"/>
    <w:rsid w:val="00956D1E"/>
    <w:rsid w:val="00956E87"/>
    <w:rsid w:val="009579B2"/>
    <w:rsid w:val="009600F7"/>
    <w:rsid w:val="00960B56"/>
    <w:rsid w:val="00960FB0"/>
    <w:rsid w:val="009616A2"/>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2EA"/>
    <w:rsid w:val="00976567"/>
    <w:rsid w:val="00976622"/>
    <w:rsid w:val="00976F2E"/>
    <w:rsid w:val="0097704F"/>
    <w:rsid w:val="009774D7"/>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0E3D"/>
    <w:rsid w:val="009915DB"/>
    <w:rsid w:val="0099241A"/>
    <w:rsid w:val="00992B7B"/>
    <w:rsid w:val="00992CFB"/>
    <w:rsid w:val="00993011"/>
    <w:rsid w:val="0099354B"/>
    <w:rsid w:val="00993AED"/>
    <w:rsid w:val="00994214"/>
    <w:rsid w:val="00994872"/>
    <w:rsid w:val="009948ED"/>
    <w:rsid w:val="00994906"/>
    <w:rsid w:val="00995EFD"/>
    <w:rsid w:val="009960E1"/>
    <w:rsid w:val="009961F3"/>
    <w:rsid w:val="009964AA"/>
    <w:rsid w:val="009964C3"/>
    <w:rsid w:val="009964F0"/>
    <w:rsid w:val="00996E0A"/>
    <w:rsid w:val="00996E76"/>
    <w:rsid w:val="00997135"/>
    <w:rsid w:val="009975F8"/>
    <w:rsid w:val="009A07B4"/>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5F66"/>
    <w:rsid w:val="009A6058"/>
    <w:rsid w:val="009A676C"/>
    <w:rsid w:val="009A7260"/>
    <w:rsid w:val="009A74B4"/>
    <w:rsid w:val="009A7831"/>
    <w:rsid w:val="009A7835"/>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FE4"/>
    <w:rsid w:val="009C448D"/>
    <w:rsid w:val="009C4A92"/>
    <w:rsid w:val="009C55E8"/>
    <w:rsid w:val="009C5AC6"/>
    <w:rsid w:val="009C63CF"/>
    <w:rsid w:val="009C6BCD"/>
    <w:rsid w:val="009C723A"/>
    <w:rsid w:val="009C770D"/>
    <w:rsid w:val="009C7BBB"/>
    <w:rsid w:val="009D03A7"/>
    <w:rsid w:val="009D093F"/>
    <w:rsid w:val="009D0A22"/>
    <w:rsid w:val="009D0D0C"/>
    <w:rsid w:val="009D0D2A"/>
    <w:rsid w:val="009D12D9"/>
    <w:rsid w:val="009D136B"/>
    <w:rsid w:val="009D16E5"/>
    <w:rsid w:val="009D18D2"/>
    <w:rsid w:val="009D21DA"/>
    <w:rsid w:val="009D2673"/>
    <w:rsid w:val="009D28A3"/>
    <w:rsid w:val="009D2C8C"/>
    <w:rsid w:val="009D4470"/>
    <w:rsid w:val="009D5312"/>
    <w:rsid w:val="009D57AE"/>
    <w:rsid w:val="009D625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1DF"/>
    <w:rsid w:val="009F166E"/>
    <w:rsid w:val="009F1702"/>
    <w:rsid w:val="009F1E45"/>
    <w:rsid w:val="009F34AD"/>
    <w:rsid w:val="009F3785"/>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6B6F"/>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E6F"/>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3B3"/>
    <w:rsid w:val="00A405B8"/>
    <w:rsid w:val="00A40C48"/>
    <w:rsid w:val="00A411B2"/>
    <w:rsid w:val="00A41672"/>
    <w:rsid w:val="00A42197"/>
    <w:rsid w:val="00A42484"/>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758"/>
    <w:rsid w:val="00A51B57"/>
    <w:rsid w:val="00A52EDF"/>
    <w:rsid w:val="00A53E99"/>
    <w:rsid w:val="00A53EEF"/>
    <w:rsid w:val="00A5468C"/>
    <w:rsid w:val="00A5469A"/>
    <w:rsid w:val="00A54ABE"/>
    <w:rsid w:val="00A54C3A"/>
    <w:rsid w:val="00A555AF"/>
    <w:rsid w:val="00A5607D"/>
    <w:rsid w:val="00A5620D"/>
    <w:rsid w:val="00A56567"/>
    <w:rsid w:val="00A56ABE"/>
    <w:rsid w:val="00A56D3D"/>
    <w:rsid w:val="00A56D81"/>
    <w:rsid w:val="00A57CC5"/>
    <w:rsid w:val="00A605DB"/>
    <w:rsid w:val="00A6060D"/>
    <w:rsid w:val="00A60689"/>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0F30"/>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43A"/>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0D0D"/>
    <w:rsid w:val="00AB1340"/>
    <w:rsid w:val="00AB1D90"/>
    <w:rsid w:val="00AB2487"/>
    <w:rsid w:val="00AB311F"/>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3649"/>
    <w:rsid w:val="00AC4C28"/>
    <w:rsid w:val="00AC4D83"/>
    <w:rsid w:val="00AC538A"/>
    <w:rsid w:val="00AC5419"/>
    <w:rsid w:val="00AC583A"/>
    <w:rsid w:val="00AC59E4"/>
    <w:rsid w:val="00AC6055"/>
    <w:rsid w:val="00AC6182"/>
    <w:rsid w:val="00AC62DE"/>
    <w:rsid w:val="00AC6309"/>
    <w:rsid w:val="00AC6C0A"/>
    <w:rsid w:val="00AD00C2"/>
    <w:rsid w:val="00AD0432"/>
    <w:rsid w:val="00AD09E8"/>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53"/>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4C7"/>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B04"/>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BF2"/>
    <w:rsid w:val="00B33E80"/>
    <w:rsid w:val="00B33ED2"/>
    <w:rsid w:val="00B34615"/>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3F7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A29"/>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47"/>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CB7"/>
    <w:rsid w:val="00B84E0C"/>
    <w:rsid w:val="00B851BD"/>
    <w:rsid w:val="00B8561C"/>
    <w:rsid w:val="00B85A7B"/>
    <w:rsid w:val="00B85AF5"/>
    <w:rsid w:val="00B85C11"/>
    <w:rsid w:val="00B85F45"/>
    <w:rsid w:val="00B860CF"/>
    <w:rsid w:val="00B8634C"/>
    <w:rsid w:val="00B86635"/>
    <w:rsid w:val="00B8684F"/>
    <w:rsid w:val="00B86BD3"/>
    <w:rsid w:val="00B86FCE"/>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1DCD"/>
    <w:rsid w:val="00BA2D2D"/>
    <w:rsid w:val="00BA3872"/>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0CA"/>
    <w:rsid w:val="00BB75A7"/>
    <w:rsid w:val="00BB7956"/>
    <w:rsid w:val="00BB7C80"/>
    <w:rsid w:val="00BB7E62"/>
    <w:rsid w:val="00BC0056"/>
    <w:rsid w:val="00BC0307"/>
    <w:rsid w:val="00BC052C"/>
    <w:rsid w:val="00BC0559"/>
    <w:rsid w:val="00BC0DD3"/>
    <w:rsid w:val="00BC0DE2"/>
    <w:rsid w:val="00BC10BF"/>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C7CBF"/>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6D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87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0EA0"/>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527"/>
    <w:rsid w:val="00C1669A"/>
    <w:rsid w:val="00C17812"/>
    <w:rsid w:val="00C17E6B"/>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D4D"/>
    <w:rsid w:val="00C31FA9"/>
    <w:rsid w:val="00C32086"/>
    <w:rsid w:val="00C327BF"/>
    <w:rsid w:val="00C32BA2"/>
    <w:rsid w:val="00C32C24"/>
    <w:rsid w:val="00C32F47"/>
    <w:rsid w:val="00C331E2"/>
    <w:rsid w:val="00C332EB"/>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4D0"/>
    <w:rsid w:val="00C47971"/>
    <w:rsid w:val="00C47DD1"/>
    <w:rsid w:val="00C502C1"/>
    <w:rsid w:val="00C50504"/>
    <w:rsid w:val="00C50E98"/>
    <w:rsid w:val="00C513BB"/>
    <w:rsid w:val="00C51DBF"/>
    <w:rsid w:val="00C52277"/>
    <w:rsid w:val="00C52330"/>
    <w:rsid w:val="00C52B42"/>
    <w:rsid w:val="00C52BE6"/>
    <w:rsid w:val="00C52FE3"/>
    <w:rsid w:val="00C53862"/>
    <w:rsid w:val="00C53ACB"/>
    <w:rsid w:val="00C53B34"/>
    <w:rsid w:val="00C53B48"/>
    <w:rsid w:val="00C53B79"/>
    <w:rsid w:val="00C53BD2"/>
    <w:rsid w:val="00C53CBE"/>
    <w:rsid w:val="00C54697"/>
    <w:rsid w:val="00C54A4E"/>
    <w:rsid w:val="00C5514E"/>
    <w:rsid w:val="00C5546A"/>
    <w:rsid w:val="00C5591C"/>
    <w:rsid w:val="00C566F3"/>
    <w:rsid w:val="00C574FA"/>
    <w:rsid w:val="00C577E6"/>
    <w:rsid w:val="00C6055B"/>
    <w:rsid w:val="00C606C4"/>
    <w:rsid w:val="00C61059"/>
    <w:rsid w:val="00C6141C"/>
    <w:rsid w:val="00C61439"/>
    <w:rsid w:val="00C61919"/>
    <w:rsid w:val="00C61C22"/>
    <w:rsid w:val="00C61DCD"/>
    <w:rsid w:val="00C62404"/>
    <w:rsid w:val="00C627BB"/>
    <w:rsid w:val="00C62962"/>
    <w:rsid w:val="00C62CC1"/>
    <w:rsid w:val="00C630BB"/>
    <w:rsid w:val="00C63698"/>
    <w:rsid w:val="00C6554B"/>
    <w:rsid w:val="00C6554E"/>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2F9"/>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C7E67"/>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237"/>
    <w:rsid w:val="00CD6A86"/>
    <w:rsid w:val="00CD73BB"/>
    <w:rsid w:val="00CD75C5"/>
    <w:rsid w:val="00CD7A75"/>
    <w:rsid w:val="00CD7E91"/>
    <w:rsid w:val="00CE09CF"/>
    <w:rsid w:val="00CE0B11"/>
    <w:rsid w:val="00CE0BBA"/>
    <w:rsid w:val="00CE155F"/>
    <w:rsid w:val="00CE1BD1"/>
    <w:rsid w:val="00CE1E25"/>
    <w:rsid w:val="00CE1FEC"/>
    <w:rsid w:val="00CE20B8"/>
    <w:rsid w:val="00CE212E"/>
    <w:rsid w:val="00CE23C0"/>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2B6F"/>
    <w:rsid w:val="00D0337C"/>
    <w:rsid w:val="00D033C8"/>
    <w:rsid w:val="00D03E2C"/>
    <w:rsid w:val="00D0437D"/>
    <w:rsid w:val="00D050CA"/>
    <w:rsid w:val="00D052D5"/>
    <w:rsid w:val="00D05DCA"/>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0FF"/>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1B"/>
    <w:rsid w:val="00D326F1"/>
    <w:rsid w:val="00D3332B"/>
    <w:rsid w:val="00D33E52"/>
    <w:rsid w:val="00D33E6D"/>
    <w:rsid w:val="00D34376"/>
    <w:rsid w:val="00D346BE"/>
    <w:rsid w:val="00D35ED9"/>
    <w:rsid w:val="00D36B92"/>
    <w:rsid w:val="00D36F04"/>
    <w:rsid w:val="00D36F7B"/>
    <w:rsid w:val="00D3734B"/>
    <w:rsid w:val="00D373DD"/>
    <w:rsid w:val="00D37DA7"/>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3E0F"/>
    <w:rsid w:val="00D5458D"/>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0B"/>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5EA"/>
    <w:rsid w:val="00D84A63"/>
    <w:rsid w:val="00D84F4E"/>
    <w:rsid w:val="00D851C4"/>
    <w:rsid w:val="00D85466"/>
    <w:rsid w:val="00D85676"/>
    <w:rsid w:val="00D86B11"/>
    <w:rsid w:val="00D872A8"/>
    <w:rsid w:val="00D8734A"/>
    <w:rsid w:val="00D8778F"/>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1DB6"/>
    <w:rsid w:val="00DA2143"/>
    <w:rsid w:val="00DA265B"/>
    <w:rsid w:val="00DA3D57"/>
    <w:rsid w:val="00DA448E"/>
    <w:rsid w:val="00DA48D2"/>
    <w:rsid w:val="00DA4981"/>
    <w:rsid w:val="00DA4B26"/>
    <w:rsid w:val="00DA5610"/>
    <w:rsid w:val="00DA57E3"/>
    <w:rsid w:val="00DA5A02"/>
    <w:rsid w:val="00DA5E43"/>
    <w:rsid w:val="00DA5EA2"/>
    <w:rsid w:val="00DA643C"/>
    <w:rsid w:val="00DA6D64"/>
    <w:rsid w:val="00DA6E6E"/>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AF4"/>
    <w:rsid w:val="00DC1BFD"/>
    <w:rsid w:val="00DC2083"/>
    <w:rsid w:val="00DC25AB"/>
    <w:rsid w:val="00DC2B9D"/>
    <w:rsid w:val="00DC3078"/>
    <w:rsid w:val="00DC3609"/>
    <w:rsid w:val="00DC3B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486"/>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478"/>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77A"/>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473"/>
    <w:rsid w:val="00E266AC"/>
    <w:rsid w:val="00E268D3"/>
    <w:rsid w:val="00E26A4A"/>
    <w:rsid w:val="00E26E9C"/>
    <w:rsid w:val="00E30525"/>
    <w:rsid w:val="00E309CD"/>
    <w:rsid w:val="00E30BB3"/>
    <w:rsid w:val="00E30C8A"/>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BC2"/>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4ED4"/>
    <w:rsid w:val="00E45AAC"/>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5E7F"/>
    <w:rsid w:val="00E86103"/>
    <w:rsid w:val="00E86153"/>
    <w:rsid w:val="00E87224"/>
    <w:rsid w:val="00E90971"/>
    <w:rsid w:val="00E914FE"/>
    <w:rsid w:val="00E91DF1"/>
    <w:rsid w:val="00E9247C"/>
    <w:rsid w:val="00E92C2C"/>
    <w:rsid w:val="00E92E62"/>
    <w:rsid w:val="00E92E84"/>
    <w:rsid w:val="00E93253"/>
    <w:rsid w:val="00E9350D"/>
    <w:rsid w:val="00E94C63"/>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A05"/>
    <w:rsid w:val="00EA7BC2"/>
    <w:rsid w:val="00EB044E"/>
    <w:rsid w:val="00EB0F82"/>
    <w:rsid w:val="00EB1284"/>
    <w:rsid w:val="00EB18E3"/>
    <w:rsid w:val="00EB1CB9"/>
    <w:rsid w:val="00EB1EFD"/>
    <w:rsid w:val="00EB2A31"/>
    <w:rsid w:val="00EB2A69"/>
    <w:rsid w:val="00EB3650"/>
    <w:rsid w:val="00EB39C2"/>
    <w:rsid w:val="00EB403F"/>
    <w:rsid w:val="00EB415B"/>
    <w:rsid w:val="00EB49BE"/>
    <w:rsid w:val="00EB4A07"/>
    <w:rsid w:val="00EB4AAF"/>
    <w:rsid w:val="00EB543A"/>
    <w:rsid w:val="00EB674B"/>
    <w:rsid w:val="00EB6C7A"/>
    <w:rsid w:val="00EB6CC9"/>
    <w:rsid w:val="00EB6D1E"/>
    <w:rsid w:val="00EB700A"/>
    <w:rsid w:val="00EB74CC"/>
    <w:rsid w:val="00EB75DB"/>
    <w:rsid w:val="00EC0354"/>
    <w:rsid w:val="00EC12ED"/>
    <w:rsid w:val="00EC1679"/>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5EB3"/>
    <w:rsid w:val="00EC691B"/>
    <w:rsid w:val="00EC6F9F"/>
    <w:rsid w:val="00ED016E"/>
    <w:rsid w:val="00ED01D6"/>
    <w:rsid w:val="00ED080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0DD"/>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556"/>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2EB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652"/>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432"/>
    <w:rsid w:val="00F67912"/>
    <w:rsid w:val="00F67992"/>
    <w:rsid w:val="00F67A88"/>
    <w:rsid w:val="00F70234"/>
    <w:rsid w:val="00F710DC"/>
    <w:rsid w:val="00F7146D"/>
    <w:rsid w:val="00F716E2"/>
    <w:rsid w:val="00F71DC2"/>
    <w:rsid w:val="00F71F1F"/>
    <w:rsid w:val="00F721ED"/>
    <w:rsid w:val="00F721F5"/>
    <w:rsid w:val="00F72523"/>
    <w:rsid w:val="00F72A69"/>
    <w:rsid w:val="00F74CBB"/>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63B"/>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03"/>
    <w:rsid w:val="00FA3BEB"/>
    <w:rsid w:val="00FA4BDC"/>
    <w:rsid w:val="00FA4FC5"/>
    <w:rsid w:val="00FA5751"/>
    <w:rsid w:val="00FA675C"/>
    <w:rsid w:val="00FA6D62"/>
    <w:rsid w:val="00FA6EFA"/>
    <w:rsid w:val="00FA79E0"/>
    <w:rsid w:val="00FB006E"/>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1FF0"/>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86B"/>
    <w:rsid w:val="00FC6F1D"/>
    <w:rsid w:val="00FC777E"/>
    <w:rsid w:val="00FC7A35"/>
    <w:rsid w:val="00FD0793"/>
    <w:rsid w:val="00FD08D5"/>
    <w:rsid w:val="00FD1EE7"/>
    <w:rsid w:val="00FD28C1"/>
    <w:rsid w:val="00FD2A62"/>
    <w:rsid w:val="00FD2BF2"/>
    <w:rsid w:val="00FD3225"/>
    <w:rsid w:val="00FD327F"/>
    <w:rsid w:val="00FD378C"/>
    <w:rsid w:val="00FD3AD6"/>
    <w:rsid w:val="00FD4C1E"/>
    <w:rsid w:val="00FD5AE2"/>
    <w:rsid w:val="00FD6532"/>
    <w:rsid w:val="00FD69A0"/>
    <w:rsid w:val="00FD6D54"/>
    <w:rsid w:val="00FD6EF3"/>
    <w:rsid w:val="00FD7AC4"/>
    <w:rsid w:val="00FE03BC"/>
    <w:rsid w:val="00FE144D"/>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5DA8C5F-C95D-4711-A2BE-1F24BDBE4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8966315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0C797E-2BA9-40D3-90A7-D00324B0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809</Words>
  <Characters>4613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이윤정/수석연구원/차세대표준(연)ACS팀(yunjung.yi@lge.com)</cp:lastModifiedBy>
  <cp:revision>3</cp:revision>
  <cp:lastPrinted>2016-05-13T07:55:00Z</cp:lastPrinted>
  <dcterms:created xsi:type="dcterms:W3CDTF">2018-02-15T01:32:00Z</dcterms:created>
  <dcterms:modified xsi:type="dcterms:W3CDTF">2018-02-15T01:34:00Z</dcterms:modified>
</cp:coreProperties>
</file>